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AA3202">
      <w:pPr>
        <w:ind w:left="284"/>
        <w:jc w:val="center"/>
        <w:rPr>
          <w:rStyle w:val="nfase"/>
          <w:rFonts w:ascii="Arial" w:hAnsi="Arial" w:cs="Arial"/>
          <w:b/>
          <w:i w:val="0"/>
          <w:sz w:val="22"/>
          <w:szCs w:val="22"/>
        </w:rPr>
      </w:pPr>
    </w:p>
    <w:p w14:paraId="02437A2A" w14:textId="5D2D943B" w:rsidR="00127AAA" w:rsidRPr="006E7081" w:rsidRDefault="007262AF" w:rsidP="00FD7C82">
      <w:pPr>
        <w:jc w:val="center"/>
        <w:rPr>
          <w:rStyle w:val="nfase"/>
          <w:rFonts w:ascii="Arial" w:hAnsi="Arial" w:cs="Arial"/>
          <w:i w:val="0"/>
          <w:sz w:val="32"/>
          <w:szCs w:val="32"/>
        </w:rPr>
      </w:pPr>
      <w:r w:rsidRPr="006E7081">
        <w:rPr>
          <w:rStyle w:val="nfase"/>
          <w:rFonts w:ascii="Arial" w:hAnsi="Arial" w:cs="Arial"/>
          <w:i w:val="0"/>
          <w:sz w:val="32"/>
          <w:szCs w:val="32"/>
        </w:rPr>
        <w:t>PREGÃO</w:t>
      </w:r>
      <w:r w:rsidR="00093827" w:rsidRPr="006E7081">
        <w:rPr>
          <w:rStyle w:val="nfase"/>
          <w:rFonts w:ascii="Arial" w:hAnsi="Arial" w:cs="Arial"/>
          <w:i w:val="0"/>
          <w:sz w:val="32"/>
          <w:szCs w:val="32"/>
        </w:rPr>
        <w:t xml:space="preserve"> </w:t>
      </w:r>
      <w:r w:rsidRPr="006E7081">
        <w:rPr>
          <w:rStyle w:val="nfase"/>
          <w:rFonts w:ascii="Arial" w:hAnsi="Arial" w:cs="Arial"/>
          <w:i w:val="0"/>
          <w:sz w:val="32"/>
          <w:szCs w:val="32"/>
        </w:rPr>
        <w:t>ELETRÔNICO</w:t>
      </w:r>
      <w:r w:rsidR="00937CEE" w:rsidRPr="006E7081">
        <w:rPr>
          <w:rStyle w:val="nfase"/>
          <w:rFonts w:ascii="Arial" w:hAnsi="Arial" w:cs="Arial"/>
          <w:i w:val="0"/>
          <w:sz w:val="32"/>
          <w:szCs w:val="32"/>
        </w:rPr>
        <w:t xml:space="preserve"> Nº </w:t>
      </w:r>
      <w:r w:rsidR="00C55A02" w:rsidRPr="006E7081">
        <w:rPr>
          <w:rStyle w:val="nfase"/>
          <w:rFonts w:ascii="Arial" w:hAnsi="Arial" w:cs="Arial"/>
          <w:i w:val="0"/>
          <w:sz w:val="32"/>
          <w:szCs w:val="32"/>
        </w:rPr>
        <w:t>90010/2024</w:t>
      </w:r>
    </w:p>
    <w:p w14:paraId="71B258C0" w14:textId="77777777" w:rsidR="00127AAA" w:rsidRPr="006E7081" w:rsidRDefault="00127AAA" w:rsidP="00FD7C82">
      <w:pPr>
        <w:spacing w:line="259" w:lineRule="auto"/>
        <w:jc w:val="center"/>
        <w:rPr>
          <w:rStyle w:val="nfase"/>
          <w:rFonts w:ascii="Arial" w:hAnsi="Arial" w:cs="Arial"/>
          <w:i w:val="0"/>
          <w:sz w:val="32"/>
          <w:szCs w:val="32"/>
        </w:rPr>
      </w:pPr>
    </w:p>
    <w:p w14:paraId="5517FDCE" w14:textId="77777777" w:rsidR="00E97013" w:rsidRPr="006E7081" w:rsidRDefault="00FD7C82" w:rsidP="00FD7C82">
      <w:pPr>
        <w:spacing w:line="259" w:lineRule="auto"/>
        <w:jc w:val="center"/>
        <w:rPr>
          <w:rStyle w:val="nfase"/>
          <w:rFonts w:ascii="Arial" w:hAnsi="Arial" w:cs="Arial"/>
          <w:i w:val="0"/>
          <w:sz w:val="32"/>
          <w:szCs w:val="32"/>
        </w:rPr>
      </w:pPr>
      <w:r w:rsidRPr="006E7081">
        <w:rPr>
          <w:rStyle w:val="nfase"/>
          <w:rFonts w:ascii="Arial" w:hAnsi="Arial" w:cs="Arial"/>
          <w:i w:val="0"/>
          <w:sz w:val="32"/>
          <w:szCs w:val="32"/>
        </w:rPr>
        <w:t>TRIBUNAL REGIONAL DO TRABALHO DA 24ª REGIÃO</w:t>
      </w:r>
    </w:p>
    <w:p w14:paraId="4A8EDD19" w14:textId="0CEA15CE" w:rsidR="00127AAA" w:rsidRPr="006E7081" w:rsidRDefault="00127AAA" w:rsidP="00FD7C82">
      <w:pPr>
        <w:spacing w:line="259" w:lineRule="auto"/>
        <w:jc w:val="center"/>
        <w:rPr>
          <w:rStyle w:val="nfase"/>
          <w:rFonts w:ascii="Arial" w:hAnsi="Arial" w:cs="Arial"/>
          <w:i w:val="0"/>
          <w:sz w:val="32"/>
          <w:szCs w:val="32"/>
        </w:rPr>
      </w:pPr>
      <w:r w:rsidRPr="006E7081">
        <w:rPr>
          <w:rStyle w:val="nfase"/>
          <w:rFonts w:ascii="Arial" w:hAnsi="Arial" w:cs="Arial"/>
          <w:i w:val="0"/>
          <w:sz w:val="32"/>
          <w:szCs w:val="32"/>
        </w:rPr>
        <w:t>UASG</w:t>
      </w:r>
      <w:r w:rsidR="00FD7C82" w:rsidRPr="006E7081">
        <w:rPr>
          <w:rStyle w:val="nfase"/>
          <w:rFonts w:ascii="Arial" w:hAnsi="Arial" w:cs="Arial"/>
          <w:i w:val="0"/>
          <w:sz w:val="32"/>
          <w:szCs w:val="32"/>
        </w:rPr>
        <w:t xml:space="preserve"> 080026</w:t>
      </w:r>
    </w:p>
    <w:p w14:paraId="65C4E84A" w14:textId="77777777" w:rsidR="00127AAA" w:rsidRPr="00EF7D7F" w:rsidRDefault="00127AAA" w:rsidP="00FD7C82">
      <w:pPr>
        <w:jc w:val="center"/>
        <w:rPr>
          <w:rStyle w:val="nfase"/>
          <w:rFonts w:ascii="Arial" w:hAnsi="Arial" w:cs="Arial"/>
          <w:i w:val="0"/>
          <w:sz w:val="28"/>
          <w:szCs w:val="28"/>
        </w:rPr>
      </w:pPr>
    </w:p>
    <w:p w14:paraId="18911010" w14:textId="77777777" w:rsidR="00244403" w:rsidRPr="00EF7D7F" w:rsidRDefault="00244403" w:rsidP="00127AAA">
      <w:pPr>
        <w:rPr>
          <w:rStyle w:val="nfase"/>
          <w:rFonts w:ascii="Arial" w:hAnsi="Arial" w:cs="Arial"/>
          <w:i w:val="0"/>
          <w:sz w:val="28"/>
          <w:szCs w:val="28"/>
        </w:rPr>
      </w:pPr>
    </w:p>
    <w:p w14:paraId="4175FB46" w14:textId="77777777" w:rsidR="00EF4766" w:rsidRPr="00EF7D7F" w:rsidRDefault="00EF4766" w:rsidP="00127AAA">
      <w:pPr>
        <w:rPr>
          <w:rStyle w:val="nfase"/>
          <w:rFonts w:ascii="Arial" w:hAnsi="Arial" w:cs="Arial"/>
          <w:i w:val="0"/>
          <w:sz w:val="28"/>
          <w:szCs w:val="28"/>
        </w:rPr>
      </w:pPr>
    </w:p>
    <w:p w14:paraId="19ADA3F4" w14:textId="77777777" w:rsidR="000D5DED" w:rsidRPr="00EF7D7F" w:rsidRDefault="000D5DED" w:rsidP="00C32D0A">
      <w:pPr>
        <w:ind w:left="284"/>
        <w:rPr>
          <w:rStyle w:val="nfase"/>
          <w:rFonts w:ascii="Arial" w:hAnsi="Arial" w:cs="Arial"/>
          <w:i w:val="0"/>
          <w:sz w:val="28"/>
          <w:szCs w:val="28"/>
          <w:u w:val="single"/>
        </w:rPr>
      </w:pPr>
    </w:p>
    <w:p w14:paraId="4E10416A" w14:textId="53CA79C0" w:rsidR="00127AAA" w:rsidRPr="006E7081" w:rsidRDefault="00127AAA" w:rsidP="00EB1E39">
      <w:pPr>
        <w:ind w:left="284"/>
        <w:jc w:val="center"/>
        <w:rPr>
          <w:rStyle w:val="nfase"/>
          <w:rFonts w:ascii="Arial" w:hAnsi="Arial" w:cs="Arial"/>
          <w:i w:val="0"/>
          <w:sz w:val="32"/>
          <w:szCs w:val="32"/>
          <w:u w:val="single"/>
        </w:rPr>
      </w:pPr>
      <w:r w:rsidRPr="006E7081">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6375E47C" w14:textId="04AF3C7B" w:rsidR="004D43AE" w:rsidRPr="00211D84" w:rsidRDefault="00211D84" w:rsidP="00211D84">
      <w:pPr>
        <w:autoSpaceDE w:val="0"/>
        <w:autoSpaceDN w:val="0"/>
        <w:adjustRightInd w:val="0"/>
        <w:ind w:left="284"/>
        <w:jc w:val="both"/>
        <w:rPr>
          <w:rFonts w:ascii="Arial" w:hAnsi="Arial" w:cs="Arial"/>
          <w:lang w:eastAsia="en-US"/>
        </w:rPr>
      </w:pPr>
      <w:r w:rsidRPr="00211D84">
        <w:rPr>
          <w:rFonts w:ascii="Arial" w:hAnsi="Arial" w:cs="Arial"/>
          <w:lang w:eastAsia="en-US"/>
        </w:rPr>
        <w:t>CONTRATAÇÃO DE EMPRESA(S) ESPECIALIZADA(S) NA CONFECÇÃO DE COMENDAS, ESTOJOS E PASTAS PORTA DIPLOMA.</w:t>
      </w:r>
    </w:p>
    <w:p w14:paraId="1CBD74F0" w14:textId="77777777" w:rsidR="000B478C" w:rsidRPr="00516103" w:rsidRDefault="000B478C" w:rsidP="000B478C">
      <w:pPr>
        <w:autoSpaceDE w:val="0"/>
        <w:autoSpaceDN w:val="0"/>
        <w:adjustRightInd w:val="0"/>
        <w:ind w:left="284"/>
        <w:jc w:val="both"/>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3C829BAC" w14:textId="77777777" w:rsidR="00211D84" w:rsidRDefault="00211D84" w:rsidP="00EB1E39">
      <w:pPr>
        <w:ind w:left="284"/>
        <w:jc w:val="center"/>
        <w:rPr>
          <w:rStyle w:val="nfase"/>
          <w:rFonts w:ascii="Arial" w:hAnsi="Arial" w:cs="Arial"/>
          <w:i w:val="0"/>
          <w:sz w:val="28"/>
          <w:szCs w:val="28"/>
          <w:u w:val="single"/>
        </w:rPr>
      </w:pPr>
    </w:p>
    <w:p w14:paraId="45155F0A" w14:textId="5DEF32F4" w:rsidR="00571200" w:rsidRPr="006E7081" w:rsidRDefault="00571200" w:rsidP="00EB1E39">
      <w:pPr>
        <w:ind w:left="284"/>
        <w:jc w:val="center"/>
        <w:rPr>
          <w:rStyle w:val="nfase"/>
          <w:rFonts w:ascii="Arial" w:hAnsi="Arial" w:cs="Arial"/>
          <w:i w:val="0"/>
          <w:sz w:val="32"/>
          <w:szCs w:val="32"/>
          <w:u w:val="single"/>
        </w:rPr>
      </w:pPr>
      <w:r w:rsidRPr="006E7081">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6F11B37C" w:rsidR="00571200" w:rsidRPr="00516103" w:rsidRDefault="00571200" w:rsidP="00CA649A">
      <w:pPr>
        <w:ind w:left="284"/>
        <w:rPr>
          <w:rStyle w:val="nfase"/>
          <w:rFonts w:ascii="Arial" w:hAnsi="Arial" w:cs="Arial"/>
          <w:i w:val="0"/>
        </w:rPr>
      </w:pPr>
      <w:r w:rsidRPr="00516103">
        <w:rPr>
          <w:rStyle w:val="nfase"/>
          <w:rFonts w:ascii="Arial" w:hAnsi="Arial" w:cs="Arial"/>
          <w:i w:val="0"/>
        </w:rPr>
        <w:t xml:space="preserve">Dia </w:t>
      </w:r>
      <w:r w:rsidR="003F1F6B">
        <w:rPr>
          <w:rStyle w:val="nfase"/>
          <w:rFonts w:ascii="Arial" w:hAnsi="Arial" w:cs="Arial"/>
          <w:i w:val="0"/>
        </w:rPr>
        <w:t>4</w:t>
      </w:r>
      <w:r w:rsidR="00CA649A">
        <w:rPr>
          <w:rStyle w:val="nfase"/>
          <w:rFonts w:ascii="Arial" w:hAnsi="Arial" w:cs="Arial"/>
          <w:i w:val="0"/>
        </w:rPr>
        <w:t>-</w:t>
      </w:r>
      <w:r w:rsidR="003F1F6B">
        <w:rPr>
          <w:rStyle w:val="nfase"/>
          <w:rFonts w:ascii="Arial" w:hAnsi="Arial" w:cs="Arial"/>
          <w:i w:val="0"/>
        </w:rPr>
        <w:t>7</w:t>
      </w:r>
      <w:r w:rsidR="008E6C65">
        <w:rPr>
          <w:rStyle w:val="nfase"/>
          <w:rFonts w:ascii="Arial" w:hAnsi="Arial" w:cs="Arial"/>
          <w:i w:val="0"/>
        </w:rPr>
        <w:t>-2024</w:t>
      </w:r>
      <w:r w:rsidRPr="00516103">
        <w:rPr>
          <w:rStyle w:val="nfase"/>
          <w:rFonts w:ascii="Arial" w:hAnsi="Arial" w:cs="Arial"/>
          <w:i w:val="0"/>
        </w:rPr>
        <w:t xml:space="preserve"> </w:t>
      </w:r>
      <w:r w:rsidR="00740456">
        <w:rPr>
          <w:rStyle w:val="nfase"/>
          <w:rFonts w:ascii="Arial" w:hAnsi="Arial" w:cs="Arial"/>
          <w:i w:val="0"/>
        </w:rPr>
        <w:t>(</w:t>
      </w:r>
      <w:r w:rsidR="003F1F6B">
        <w:rPr>
          <w:rStyle w:val="nfase"/>
          <w:rFonts w:ascii="Arial" w:hAnsi="Arial" w:cs="Arial"/>
          <w:i w:val="0"/>
        </w:rPr>
        <w:t>quinta-</w:t>
      </w:r>
      <w:r w:rsidR="00740456">
        <w:rPr>
          <w:rStyle w:val="nfase"/>
          <w:rFonts w:ascii="Arial" w:hAnsi="Arial" w:cs="Arial"/>
          <w:i w:val="0"/>
        </w:rPr>
        <w:t xml:space="preserve">feira) </w:t>
      </w:r>
      <w:r w:rsidRPr="00516103">
        <w:rPr>
          <w:rStyle w:val="nfase"/>
          <w:rFonts w:ascii="Arial" w:hAnsi="Arial" w:cs="Arial"/>
          <w:i w:val="0"/>
        </w:rPr>
        <w:t xml:space="preserve">às </w:t>
      </w:r>
      <w:r w:rsidR="00CA649A">
        <w:rPr>
          <w:rStyle w:val="nfase"/>
          <w:rFonts w:ascii="Arial" w:hAnsi="Arial" w:cs="Arial"/>
          <w:i w:val="0"/>
        </w:rPr>
        <w:t>14</w:t>
      </w:r>
      <w:r w:rsidRPr="00516103">
        <w:rPr>
          <w:rStyle w:val="nfase"/>
          <w:rFonts w:ascii="Arial" w:hAnsi="Arial" w:cs="Arial"/>
          <w:i w:val="0"/>
        </w:rPr>
        <w:t>h</w:t>
      </w:r>
      <w:r w:rsidR="00CA649A">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533D2846" w14:textId="04C88FED" w:rsidR="00EB718D" w:rsidRDefault="00EF7D7F" w:rsidP="00C32D0A">
      <w:pPr>
        <w:ind w:left="284"/>
        <w:rPr>
          <w:rStyle w:val="nfase"/>
          <w:rFonts w:ascii="Arial" w:hAnsi="Arial" w:cs="Arial"/>
          <w:i w:val="0"/>
        </w:rPr>
      </w:pPr>
      <w:r>
        <w:rPr>
          <w:rStyle w:val="nfase"/>
          <w:rFonts w:ascii="Arial" w:hAnsi="Arial" w:cs="Arial"/>
          <w:i w:val="0"/>
        </w:rPr>
        <w:t xml:space="preserve">R$ </w:t>
      </w:r>
      <w:r w:rsidR="00211D84">
        <w:rPr>
          <w:rStyle w:val="nfase"/>
          <w:rFonts w:ascii="Arial" w:hAnsi="Arial" w:cs="Arial"/>
          <w:i w:val="0"/>
        </w:rPr>
        <w:t>62.622,90</w:t>
      </w:r>
      <w:r>
        <w:rPr>
          <w:rStyle w:val="nfase"/>
          <w:rFonts w:ascii="Arial" w:hAnsi="Arial" w:cs="Arial"/>
          <w:i w:val="0"/>
        </w:rPr>
        <w:t>.</w:t>
      </w:r>
    </w:p>
    <w:p w14:paraId="5A0A3AE7" w14:textId="77777777" w:rsidR="00EF7D7F" w:rsidRPr="00516103" w:rsidRDefault="00EF7D7F"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35A51392"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w:t>
      </w:r>
      <w:r w:rsidR="00211D84">
        <w:rPr>
          <w:rStyle w:val="nfase"/>
          <w:rFonts w:ascii="Arial" w:hAnsi="Arial" w:cs="Arial"/>
          <w:i w:val="0"/>
        </w:rPr>
        <w:t>POR ITEM</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7412E43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044E24DA" w:rsidR="00127AAA" w:rsidRPr="00516103" w:rsidRDefault="00211D84" w:rsidP="00C32D0A">
      <w:pPr>
        <w:ind w:left="284"/>
        <w:rPr>
          <w:rStyle w:val="nfase"/>
          <w:rFonts w:ascii="Arial" w:hAnsi="Arial" w:cs="Arial"/>
          <w:i w:val="0"/>
        </w:rPr>
      </w:pPr>
      <w:r>
        <w:rPr>
          <w:rStyle w:val="nfase"/>
          <w:rFonts w:ascii="Arial" w:hAnsi="Arial" w:cs="Arial"/>
          <w:i w:val="0"/>
        </w:rPr>
        <w:t>Sim</w:t>
      </w:r>
      <w:r w:rsidR="0042504A">
        <w:rPr>
          <w:rStyle w:val="nfase"/>
          <w:rFonts w:ascii="Arial" w:hAnsi="Arial" w:cs="Arial"/>
          <w:i w:val="0"/>
        </w:rPr>
        <w:t>.</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3F6F48C2" w14:textId="77777777" w:rsidR="00361380" w:rsidRDefault="00361380" w:rsidP="008F330B">
      <w:pPr>
        <w:spacing w:beforeLines="120" w:before="288" w:afterLines="120" w:after="288" w:line="312" w:lineRule="auto"/>
        <w:ind w:firstLine="567"/>
        <w:jc w:val="center"/>
        <w:rPr>
          <w:rFonts w:ascii="Arial" w:hAnsi="Arial" w:cs="Arial"/>
          <w:b/>
          <w:color w:val="000000"/>
          <w:sz w:val="20"/>
          <w:szCs w:val="20"/>
        </w:rPr>
      </w:pPr>
    </w:p>
    <w:p w14:paraId="70D2725F" w14:textId="77777777" w:rsidR="00361380" w:rsidRDefault="00361380" w:rsidP="008F330B">
      <w:pPr>
        <w:spacing w:beforeLines="120" w:before="288" w:afterLines="120" w:after="288" w:line="312" w:lineRule="auto"/>
        <w:ind w:firstLine="567"/>
        <w:jc w:val="center"/>
        <w:rPr>
          <w:rFonts w:ascii="Arial" w:hAnsi="Arial" w:cs="Arial"/>
          <w:b/>
          <w:color w:val="000000"/>
          <w:sz w:val="20"/>
          <w:szCs w:val="20"/>
        </w:rPr>
      </w:pPr>
    </w:p>
    <w:p w14:paraId="79841B6D" w14:textId="140722E5"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C55A02">
        <w:rPr>
          <w:rFonts w:ascii="Arial" w:hAnsi="Arial" w:cs="Arial"/>
          <w:b/>
          <w:color w:val="000000"/>
          <w:sz w:val="20"/>
          <w:szCs w:val="20"/>
        </w:rPr>
        <w:t>90010/2024</w:t>
      </w:r>
    </w:p>
    <w:p w14:paraId="1CC7C9FE" w14:textId="1D3A6C2D"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C55A02">
        <w:rPr>
          <w:rFonts w:ascii="Arial" w:hAnsi="Arial" w:cs="Arial"/>
          <w:bCs/>
          <w:color w:val="000000"/>
          <w:sz w:val="20"/>
          <w:szCs w:val="20"/>
        </w:rPr>
        <w:t>1.122/2024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2679D1C0"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Delegado Carlos Roberto Bastos de Oliveira nº 2</w:t>
      </w:r>
      <w:bookmarkStart w:id="0" w:name="_GoBack"/>
      <w:bookmarkEnd w:id="0"/>
      <w:r w:rsidR="001C61C6" w:rsidRPr="001C61C6">
        <w:rPr>
          <w:rFonts w:ascii="Arial" w:hAnsi="Arial" w:cs="Arial"/>
          <w:spacing w:val="4"/>
          <w:sz w:val="20"/>
          <w:szCs w:val="20"/>
        </w:rPr>
        <w:t xml:space="preserve">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3F1F6B">
        <w:rPr>
          <w:rFonts w:ascii="Arial" w:hAnsi="Arial" w:cs="Arial"/>
          <w:b/>
          <w:color w:val="000000"/>
          <w:sz w:val="20"/>
          <w:szCs w:val="20"/>
        </w:rPr>
        <w:t>4</w:t>
      </w:r>
      <w:r w:rsidR="00432892">
        <w:rPr>
          <w:rFonts w:ascii="Arial" w:hAnsi="Arial" w:cs="Arial"/>
          <w:b/>
          <w:color w:val="000000"/>
          <w:sz w:val="20"/>
          <w:szCs w:val="20"/>
        </w:rPr>
        <w:t xml:space="preserve"> </w:t>
      </w:r>
      <w:r w:rsidR="001F2DC3" w:rsidRPr="001F2DC3">
        <w:rPr>
          <w:rFonts w:ascii="Arial" w:hAnsi="Arial" w:cs="Arial"/>
          <w:b/>
          <w:color w:val="000000"/>
          <w:sz w:val="20"/>
          <w:szCs w:val="20"/>
        </w:rPr>
        <w:t xml:space="preserve">de </w:t>
      </w:r>
      <w:r w:rsidR="003F1F6B">
        <w:rPr>
          <w:rFonts w:ascii="Arial" w:hAnsi="Arial" w:cs="Arial"/>
          <w:b/>
          <w:color w:val="000000"/>
          <w:sz w:val="20"/>
          <w:szCs w:val="20"/>
        </w:rPr>
        <w:t xml:space="preserve">julho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3F1F6B">
        <w:rPr>
          <w:rFonts w:ascii="Arial" w:hAnsi="Arial" w:cs="Arial"/>
          <w:b/>
          <w:color w:val="000000"/>
          <w:sz w:val="20"/>
          <w:szCs w:val="20"/>
        </w:rPr>
        <w:t>quinta</w:t>
      </w:r>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w:t>
      </w:r>
      <w:r w:rsidR="001A351E">
        <w:rPr>
          <w:rFonts w:ascii="Arial" w:hAnsi="Arial" w:cs="Arial"/>
          <w:b/>
          <w:color w:val="000000"/>
          <w:sz w:val="20"/>
          <w:szCs w:val="20"/>
        </w:rPr>
        <w:t>4</w:t>
      </w:r>
      <w:r w:rsidR="001F2DC3" w:rsidRPr="001F2DC3">
        <w:rPr>
          <w:rFonts w:ascii="Arial" w:hAnsi="Arial" w:cs="Arial"/>
          <w:b/>
          <w:color w:val="000000"/>
          <w:sz w:val="20"/>
          <w:szCs w:val="20"/>
        </w:rPr>
        <w:t>h</w:t>
      </w:r>
      <w:r w:rsidR="001A351E">
        <w:rPr>
          <w:rFonts w:ascii="Arial" w:hAnsi="Arial" w:cs="Arial"/>
          <w:b/>
          <w:color w:val="000000"/>
          <w:sz w:val="20"/>
          <w:szCs w:val="20"/>
        </w:rPr>
        <w:t>30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68E74973" w14:textId="7CAB3FF7" w:rsidR="00B35942" w:rsidRPr="00B35942" w:rsidRDefault="003C7A23" w:rsidP="00890C6A">
      <w:pPr>
        <w:pStyle w:val="Nivel2"/>
        <w:autoSpaceDE w:val="0"/>
        <w:autoSpaceDN w:val="0"/>
        <w:adjustRightInd w:val="0"/>
        <w:spacing w:beforeLines="120" w:before="288" w:afterLines="120" w:after="288" w:line="312" w:lineRule="auto"/>
        <w:ind w:left="993" w:hanging="567"/>
        <w:rPr>
          <w:rFonts w:eastAsia="Times New Roman"/>
          <w:color w:val="auto"/>
        </w:rPr>
      </w:pPr>
      <w:r w:rsidRPr="00B35942">
        <w:rPr>
          <w:rFonts w:eastAsia="Times New Roman"/>
          <w:color w:val="auto"/>
        </w:rPr>
        <w:t xml:space="preserve">O objeto da presente licitação é </w:t>
      </w:r>
      <w:r w:rsidR="00ED679C" w:rsidRPr="00B35942">
        <w:rPr>
          <w:rFonts w:eastAsia="Times New Roman"/>
          <w:color w:val="auto"/>
        </w:rPr>
        <w:t xml:space="preserve">a </w:t>
      </w:r>
      <w:r w:rsidR="00B35942" w:rsidRPr="00C3796E">
        <w:rPr>
          <w:rFonts w:ascii="ArialMT" w:hAnsi="ArialMT" w:cs="ArialMT"/>
          <w:b/>
          <w:lang w:eastAsia="en-US"/>
        </w:rPr>
        <w:t xml:space="preserve">Contratação de </w:t>
      </w:r>
      <w:r w:rsidR="00432892" w:rsidRPr="00C3796E">
        <w:rPr>
          <w:rFonts w:ascii="ArialMT" w:hAnsi="ArialMT" w:cs="ArialMT"/>
          <w:b/>
          <w:lang w:eastAsia="en-US"/>
        </w:rPr>
        <w:t xml:space="preserve">empresa(s) especializada(s) </w:t>
      </w:r>
      <w:r w:rsidR="001A351E" w:rsidRPr="00C3796E">
        <w:rPr>
          <w:rFonts w:ascii="ArialMT" w:hAnsi="ArialMT" w:cs="ArialMT"/>
          <w:b/>
          <w:lang w:eastAsia="en-US"/>
        </w:rPr>
        <w:t>na confecção de comendas, estojos e pastas porta diploma</w:t>
      </w:r>
      <w:r w:rsidR="001A351E">
        <w:rPr>
          <w:rFonts w:ascii="ArialMT" w:hAnsi="ArialMT" w:cs="ArialMT"/>
          <w:lang w:eastAsia="en-US"/>
        </w:rPr>
        <w:t xml:space="preserve"> para utilização nos eventos “Labor et Honoris”, “Homenagem aos Servidores” e “Confraria dos Beletristas”</w:t>
      </w:r>
      <w:r w:rsidR="00B35942" w:rsidRPr="00B35942">
        <w:rPr>
          <w:rFonts w:ascii="ArialMT" w:hAnsi="ArialMT" w:cs="ArialMT"/>
          <w:lang w:eastAsia="en-US"/>
        </w:rPr>
        <w:t xml:space="preserve">, conforme </w:t>
      </w:r>
      <w:r w:rsidR="001A351E">
        <w:rPr>
          <w:rFonts w:ascii="ArialMT" w:hAnsi="ArialMT" w:cs="ArialMT"/>
          <w:lang w:eastAsia="en-US"/>
        </w:rPr>
        <w:t xml:space="preserve">as especificações e </w:t>
      </w:r>
      <w:r w:rsidR="00B35942" w:rsidRPr="00B35942">
        <w:rPr>
          <w:rFonts w:ascii="ArialMT" w:hAnsi="ArialMT" w:cs="ArialMT"/>
          <w:lang w:eastAsia="en-US"/>
        </w:rPr>
        <w:t>condições estabelecidas</w:t>
      </w:r>
      <w:r w:rsidR="00B35942">
        <w:rPr>
          <w:rFonts w:ascii="ArialMT" w:hAnsi="ArialMT" w:cs="ArialMT"/>
          <w:lang w:eastAsia="en-US"/>
        </w:rPr>
        <w:t xml:space="preserve"> neste Edital, no Termo de Referência e nos Anexos.</w:t>
      </w:r>
    </w:p>
    <w:p w14:paraId="160AF91D" w14:textId="77777777" w:rsidR="006633EE" w:rsidRPr="006E1990" w:rsidRDefault="006633EE" w:rsidP="006633EE">
      <w:pPr>
        <w:pStyle w:val="Nivel2"/>
        <w:numPr>
          <w:ilvl w:val="2"/>
          <w:numId w:val="1"/>
        </w:numPr>
        <w:autoSpaceDE w:val="0"/>
        <w:snapToGrid w:val="0"/>
        <w:spacing w:beforeLines="120" w:before="288" w:afterLines="120" w:after="288" w:line="312" w:lineRule="auto"/>
        <w:ind w:left="1701" w:hanging="708"/>
      </w:pPr>
      <w:r w:rsidRPr="006E1990">
        <w:t>A licitação será dividida em itens, conforme tabela constante do Termo de Referência, facultando-se ao licitante a participação em quantos itens forem de seu interesse.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Os interessados deverão atender às condições exigidas no cadastramento no Sicaf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w:t>
      </w:r>
      <w:r w:rsidRPr="00F01F71">
        <w:rPr>
          <w:rFonts w:eastAsia="Times New Roman"/>
          <w:color w:val="auto"/>
        </w:rPr>
        <w:lastRenderedPageBreak/>
        <w:t>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5CB49745"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DD628D" w:rsidRPr="00092F61">
        <w:rPr>
          <w:b/>
          <w:color w:val="auto"/>
        </w:rPr>
        <w:t xml:space="preserve"> </w:t>
      </w:r>
      <w:r w:rsidR="00173D63" w:rsidRPr="006E7081">
        <w:rPr>
          <w:b/>
          <w:color w:val="auto"/>
        </w:rPr>
        <w:t>é</w:t>
      </w:r>
      <w:r w:rsidR="00DD628D" w:rsidRPr="006E7081">
        <w:rPr>
          <w:b/>
          <w:color w:val="auto"/>
        </w:rPr>
        <w:t xml:space="preserve"> exclusiva</w:t>
      </w:r>
      <w:r w:rsidR="00DD628D" w:rsidRPr="00DD628D">
        <w:rPr>
          <w:color w:val="auto"/>
        </w:rPr>
        <w:t xml:space="preserve"> a microempresas e empresas de pequeno porte, nos termos do art. 48 da Lei Complementar nº 123/2006.</w:t>
      </w:r>
    </w:p>
    <w:p w14:paraId="5618E90B" w14:textId="77777777" w:rsidR="00FC5EE3" w:rsidRDefault="00FC5EE3" w:rsidP="00FC5EE3">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 xml:space="preserve">microempresas e empresas de pequeno porte, para as sociedades cooperativas </w:t>
      </w:r>
      <w:r w:rsidRPr="00BF7478">
        <w:rPr>
          <w:rFonts w:eastAsia="Times New Roman"/>
          <w:color w:val="auto"/>
        </w:rPr>
        <w:t xml:space="preserve">mencionadas no artigo </w:t>
      </w:r>
      <w:r w:rsidRPr="00BF7478">
        <w:rPr>
          <w:color w:val="auto"/>
        </w:rPr>
        <w:t>16 da Lei nº 14</w:t>
      </w:r>
      <w:r w:rsidRPr="00160615">
        <w:t>.133</w:t>
      </w:r>
      <w:r>
        <w:t xml:space="preserve">/2021 </w:t>
      </w:r>
      <w:r w:rsidRPr="00D979DE">
        <w:rPr>
          <w:color w:val="auto"/>
        </w:rPr>
        <w:t>e para o microempreendedor individual - MEI, nos limites previstos da Lei Complementar nº 123/2006 e do Decreto nº 8.538/2015.</w:t>
      </w:r>
    </w:p>
    <w:p w14:paraId="289AA3D9" w14:textId="77777777" w:rsidR="00092F61" w:rsidRPr="002E25DC" w:rsidRDefault="00092F61" w:rsidP="00092F6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lastRenderedPageBreak/>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0720F7CC" w:rsidR="003C7A23" w:rsidRPr="007C27D5" w:rsidRDefault="003C7A23" w:rsidP="007C27D5">
      <w:pPr>
        <w:numPr>
          <w:ilvl w:val="2"/>
          <w:numId w:val="1"/>
        </w:numPr>
        <w:autoSpaceDE w:val="0"/>
        <w:snapToGrid w:val="0"/>
        <w:spacing w:beforeLines="120" w:before="288" w:afterLines="120" w:after="288" w:line="312" w:lineRule="auto"/>
        <w:ind w:left="1701" w:hanging="708"/>
        <w:jc w:val="both"/>
        <w:rPr>
          <w:rFonts w:ascii="Arial" w:hAnsi="Arial" w:cs="Arial"/>
          <w:sz w:val="20"/>
          <w:szCs w:val="20"/>
          <w:lang w:eastAsia="en-US"/>
        </w:rPr>
      </w:pPr>
      <w:r w:rsidRPr="007C27D5">
        <w:rPr>
          <w:rFonts w:ascii="Arial" w:hAnsi="Arial" w:cs="Arial"/>
          <w:sz w:val="20"/>
          <w:szCs w:val="20"/>
          <w:lang w:eastAsia="en-US"/>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7C27D5">
          <w:rPr>
            <w:rFonts w:ascii="Arial" w:hAnsi="Arial" w:cs="Arial"/>
            <w:sz w:val="20"/>
            <w:szCs w:val="20"/>
            <w:lang w:eastAsia="en-US"/>
          </w:rPr>
          <w:t>§ 1º do art. 9º da Lei nº 14.133</w:t>
        </w:r>
        <w:r w:rsidR="00367DBE" w:rsidRPr="007C27D5">
          <w:rPr>
            <w:rFonts w:ascii="Arial" w:hAnsi="Arial" w:cs="Arial"/>
            <w:sz w:val="20"/>
            <w:szCs w:val="20"/>
            <w:lang w:eastAsia="en-US"/>
          </w:rPr>
          <w:t>/2021</w:t>
        </w:r>
      </w:hyperlink>
      <w:r w:rsidRPr="007C27D5">
        <w:rPr>
          <w:rFonts w:ascii="Arial" w:hAnsi="Arial" w:cs="Arial"/>
          <w:sz w:val="20"/>
          <w:szCs w:val="20"/>
          <w:lang w:eastAsia="en-US"/>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3BB78A95" w14:textId="77777777" w:rsidR="00E753F7" w:rsidRPr="00BF7478" w:rsidRDefault="00E753F7" w:rsidP="00E753F7">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3D920F80"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FC5EE3">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r w:rsidRPr="00F01F71">
        <w:t>arts.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ED282B7" w14:textId="5848599A" w:rsidR="006E7081" w:rsidRPr="00FC6001" w:rsidRDefault="006E7081" w:rsidP="006E708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FC6001">
        <w:rPr>
          <w:rFonts w:ascii="Arial" w:hAnsi="Arial" w:cs="Arial"/>
          <w:sz w:val="20"/>
          <w:szCs w:val="20"/>
        </w:rPr>
        <w:t>Para participação de microempresas e empresas de pequeno porte, a assinalação do campo “não” impedirá o prosseguimento no certame</w:t>
      </w:r>
      <w:r>
        <w:rPr>
          <w:rFonts w:ascii="Arial" w:hAnsi="Arial" w:cs="Arial"/>
          <w:sz w:val="20"/>
          <w:szCs w:val="20"/>
        </w:rPr>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46B07664"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 xml:space="preserve">parametrizado </w:t>
      </w:r>
      <w:r w:rsidR="00EC28A4">
        <w:t xml:space="preserve">na forma do item 3.9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40EC74E2"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D50897">
        <w:t xml:space="preserve">, observado o critério de julgamento que é de MENOR PREÇO </w:t>
      </w:r>
      <w:r w:rsidR="0038688C">
        <w:t>POR ITEM</w:t>
      </w:r>
      <w:r w:rsidR="000B1FAD">
        <w:t>;</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(Comprasnet)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53C8EB60" w:rsidR="003C7A23" w:rsidRPr="002C0D03" w:rsidRDefault="003C7A23" w:rsidP="009A2F63">
      <w:pPr>
        <w:pStyle w:val="Nivel2"/>
        <w:numPr>
          <w:ilvl w:val="2"/>
          <w:numId w:val="1"/>
        </w:numPr>
        <w:autoSpaceDE w:val="0"/>
        <w:snapToGrid w:val="0"/>
        <w:spacing w:beforeLines="120" w:before="288" w:afterLines="120" w:after="288" w:line="312" w:lineRule="auto"/>
        <w:ind w:left="1701" w:hanging="708"/>
        <w:rPr>
          <w:color w:val="auto"/>
        </w:rPr>
      </w:pPr>
      <w:r w:rsidRPr="002C0D03">
        <w:rPr>
          <w:color w:val="auto"/>
        </w:rPr>
        <w:t xml:space="preserve">Os licitantes devem respeitar os preços máximos </w:t>
      </w:r>
      <w:r w:rsidR="002C0D03" w:rsidRPr="002C0D03">
        <w:rPr>
          <w:color w:val="auto"/>
        </w:rPr>
        <w:t xml:space="preserve">unitários e totais </w:t>
      </w:r>
      <w:r w:rsidRPr="002C0D03">
        <w:rPr>
          <w:color w:val="auto"/>
        </w:rPr>
        <w:t xml:space="preserve">estabelecidos </w:t>
      </w:r>
      <w:r w:rsidR="002C0D03" w:rsidRPr="002C0D03">
        <w:rPr>
          <w:color w:val="auto"/>
        </w:rPr>
        <w:t>no Anexo I do Termo de Referência.</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ou condenação dos agentes públicos responsáveis e da empresa contratada ao pagamento dos prejuízos ao erário, caso verificada a ocorrência de superfaturamento por sobrepreço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BC6466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w:t>
      </w:r>
      <w:r w:rsidR="00575FA4">
        <w:t xml:space="preserve">o de MENOR PREÇO </w:t>
      </w:r>
      <w:r w:rsidR="00612FDF">
        <w:t>POR ITEM</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0D363DCC" w14:textId="77777777" w:rsidR="00DB2CD5" w:rsidRPr="006E1990" w:rsidRDefault="00DB2CD5" w:rsidP="00DB2CD5">
      <w:pPr>
        <w:pStyle w:val="Nivel2"/>
        <w:spacing w:beforeLines="120" w:before="288" w:afterLines="120" w:after="288" w:line="312" w:lineRule="auto"/>
        <w:ind w:left="993" w:hanging="567"/>
      </w:pPr>
      <w:bookmarkStart w:id="18" w:name="_Hlk113697759"/>
      <w:r>
        <w:t xml:space="preserve">O envio de lances neste </w:t>
      </w:r>
      <w:r w:rsidRPr="006E1990">
        <w:t>pregão eletrônico</w:t>
      </w:r>
      <w:r>
        <w:t xml:space="preserve"> irá observar </w:t>
      </w:r>
      <w:r w:rsidRPr="006E1990">
        <w:t xml:space="preserve">o modo de disputa “aberto”, </w:t>
      </w:r>
      <w:r>
        <w:t xml:space="preserve">de forma que </w:t>
      </w:r>
      <w:r w:rsidRPr="006E1990">
        <w:t>os licitantes apresentarão lances públicos e sucessivos, com prorrogações.</w:t>
      </w:r>
    </w:p>
    <w:p w14:paraId="74ED6A9C"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531FE904"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0A3B3285"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1C0DD9A8" w14:textId="77777777" w:rsidR="00DB2CD5" w:rsidRPr="006E1990" w:rsidRDefault="00DB2CD5" w:rsidP="00DB2CD5">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t>Pregoeiro</w:t>
      </w:r>
      <w:r w:rsidRPr="006E1990">
        <w:t>, auxiliado pela equipe de apoio, poderá admitir o reinício da disputa aberta, para a definição das demais colocações.</w:t>
      </w:r>
    </w:p>
    <w:p w14:paraId="5A63C47E" w14:textId="77777777" w:rsidR="00DB2CD5" w:rsidRPr="002730DC" w:rsidRDefault="00DB2CD5" w:rsidP="00DB2CD5">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5B193359" w14:textId="765E3A87" w:rsidR="00AC7203" w:rsidRPr="006E1990" w:rsidRDefault="00AC7203" w:rsidP="00AC7203">
      <w:pPr>
        <w:pStyle w:val="Nivel2"/>
        <w:numPr>
          <w:ilvl w:val="2"/>
          <w:numId w:val="1"/>
        </w:numPr>
        <w:autoSpaceDE w:val="0"/>
        <w:snapToGrid w:val="0"/>
        <w:spacing w:beforeLines="120" w:before="288" w:afterLines="120" w:after="288" w:line="312" w:lineRule="auto"/>
        <w:ind w:left="1701" w:hanging="708"/>
        <w:rPr>
          <w:szCs w:val="24"/>
        </w:rPr>
      </w:pPr>
      <w:r w:rsidRPr="006E1990">
        <w:t>O</w:t>
      </w:r>
      <w:r>
        <w:t xml:space="preserve"> P</w:t>
      </w:r>
      <w:r w:rsidRPr="006E1990">
        <w:t xml:space="preserve">regoeiro solicitará ao licitante mais bem classificado que, no prazo </w:t>
      </w:r>
      <w:r w:rsidRPr="00AC7203">
        <w:rPr>
          <w:color w:val="auto"/>
        </w:rPr>
        <w:t>de 2 (duas) horas</w:t>
      </w:r>
      <w:r w:rsidRPr="006E1990">
        <w:t xml:space="preserve">, 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bookmarkStart w:id="25" w:name="_Hlk117016948"/>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lastRenderedPageBreak/>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4EEDEB6A"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24250288"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C47A4C">
        <w:rPr>
          <w:b/>
        </w:rPr>
        <w:t xml:space="preserve">4 </w:t>
      </w:r>
      <w:r w:rsidR="00E753F7">
        <w:rPr>
          <w:b/>
        </w:rPr>
        <w:t xml:space="preserve">DO </w:t>
      </w:r>
      <w:r w:rsidRPr="00471A87">
        <w:rPr>
          <w:b/>
        </w:rPr>
        <w:t>TERMO DE REFERÊNCIA</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r w:rsidR="006206CB" w:rsidRPr="00AD4A98">
        <w:t>arts.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84678ED" w14:textId="54DBCEE0" w:rsidR="00BF7230" w:rsidRPr="00BF7230" w:rsidRDefault="00BF7230" w:rsidP="00BF7230">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Sicaf,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2A19B0D1"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Sicaf serão enviados por meio do sistema, em formato digital, no prazo de </w:t>
      </w:r>
      <w:r w:rsidR="004A4A4B">
        <w:t>02</w:t>
      </w:r>
      <w:r w:rsidR="00851DB7">
        <w:t xml:space="preserve"> (</w:t>
      </w:r>
      <w:r w:rsidR="004A4A4B">
        <w:t>duas</w:t>
      </w:r>
      <w:r w:rsidR="00851DB7">
        <w:t>) horas</w:t>
      </w:r>
      <w:r w:rsidRPr="006E1990">
        <w:t xml:space="preserve">, prorrogável por igual período, contado da solicitação do </w:t>
      </w:r>
      <w:r w:rsidR="00797DE6">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A verificação no Sicaf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lastRenderedPageBreak/>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7"/>
    </w:p>
    <w:bookmarkEnd w:id="40"/>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 xml:space="preserve">quando não se justificar a imposição de penalidade mais grave, e impedirá o responsável de licitar e contratar no </w:t>
      </w:r>
      <w:r w:rsidRPr="006E1990">
        <w:lastRenderedPageBreak/>
        <w:t>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2C4FCE2C" w:rsidR="00516103" w:rsidRDefault="003C7A23" w:rsidP="00516103">
      <w:pPr>
        <w:pStyle w:val="Nivel2"/>
        <w:spacing w:beforeLines="120" w:before="288" w:afterLines="120" w:after="288" w:line="312" w:lineRule="auto"/>
        <w:ind w:left="1134" w:hanging="708"/>
      </w:pPr>
      <w:r w:rsidRPr="006E1990">
        <w:lastRenderedPageBreak/>
        <w:t xml:space="preserve">Integram este </w:t>
      </w:r>
      <w:r w:rsidR="00797DE6">
        <w:t>Edital</w:t>
      </w:r>
      <w:r w:rsidRPr="006E1990">
        <w:t xml:space="preserve">, para todos os fins e efeitos, </w:t>
      </w:r>
      <w:r w:rsidR="00571635">
        <w:t>o Termo de Referência</w:t>
      </w:r>
      <w:r w:rsidR="00A621CD">
        <w:t xml:space="preserve"> e a Minuta de Termo de Contrato</w:t>
      </w:r>
      <w:r w:rsidR="00B411F2">
        <w:t xml:space="preserve">. </w:t>
      </w:r>
    </w:p>
    <w:p w14:paraId="27BF3C44" w14:textId="753C7CAD" w:rsidR="003635CF" w:rsidRDefault="003635CF" w:rsidP="00157B8A">
      <w:pPr>
        <w:pStyle w:val="Nivel2"/>
        <w:numPr>
          <w:ilvl w:val="0"/>
          <w:numId w:val="0"/>
        </w:numPr>
        <w:spacing w:beforeLines="120" w:before="288" w:afterLines="120" w:after="288" w:line="312" w:lineRule="auto"/>
        <w:ind w:left="360"/>
        <w:jc w:val="center"/>
      </w:pPr>
      <w:r w:rsidRPr="00516103">
        <w:t>Campo Grande – MS,</w:t>
      </w:r>
      <w:r w:rsidR="00516676">
        <w:t xml:space="preserve"> </w:t>
      </w:r>
      <w:r w:rsidR="00E203BC">
        <w:t xml:space="preserve">18 </w:t>
      </w:r>
      <w:r w:rsidR="00516676">
        <w:t xml:space="preserve">de </w:t>
      </w:r>
      <w:r w:rsidR="00E203BC">
        <w:t>junho</w:t>
      </w:r>
      <w:r w:rsidR="00516676">
        <w:t xml:space="preserve">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AF38D" w14:textId="77777777" w:rsidR="005541F0" w:rsidRDefault="005541F0">
      <w:r>
        <w:separator/>
      </w:r>
    </w:p>
  </w:endnote>
  <w:endnote w:type="continuationSeparator" w:id="0">
    <w:p w14:paraId="486278FC" w14:textId="77777777" w:rsidR="005541F0" w:rsidRDefault="005541F0">
      <w:r>
        <w:continuationSeparator/>
      </w:r>
    </w:p>
  </w:endnote>
  <w:endnote w:type="continuationNotice" w:id="1">
    <w:p w14:paraId="10F6DA28" w14:textId="77777777" w:rsidR="005541F0" w:rsidRDefault="00554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7F439D0"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3F1F6B">
          <w:rPr>
            <w:noProof/>
            <w:sz w:val="18"/>
            <w:szCs w:val="18"/>
          </w:rPr>
          <w:t>4</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3F1F6B">
          <w:rPr>
            <w:noProof/>
            <w:sz w:val="18"/>
            <w:szCs w:val="18"/>
          </w:rPr>
          <w:t>18</w:t>
        </w:r>
        <w:r w:rsidRPr="00E12671">
          <w:rPr>
            <w:sz w:val="18"/>
            <w:szCs w:val="18"/>
          </w:rPr>
          <w:fldChar w:fldCharType="end"/>
        </w:r>
      </w:p>
      <w:p w14:paraId="239342FA" w14:textId="1DAA0501" w:rsidR="00FC0D1F" w:rsidRPr="00244403" w:rsidRDefault="005541F0"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991E4" w14:textId="77777777" w:rsidR="005541F0" w:rsidRDefault="005541F0">
      <w:r>
        <w:separator/>
      </w:r>
    </w:p>
  </w:footnote>
  <w:footnote w:type="continuationSeparator" w:id="0">
    <w:p w14:paraId="742267C5" w14:textId="77777777" w:rsidR="005541F0" w:rsidRDefault="005541F0">
      <w:r>
        <w:continuationSeparator/>
      </w:r>
    </w:p>
  </w:footnote>
  <w:footnote w:type="continuationNotice" w:id="1">
    <w:p w14:paraId="36A5101C" w14:textId="77777777" w:rsidR="005541F0" w:rsidRDefault="005541F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059F3FC3"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C55A02">
      <w:rPr>
        <w:rFonts w:ascii="Courier New" w:hAnsi="Courier New" w:cs="Courier New"/>
        <w:sz w:val="20"/>
        <w:szCs w:val="20"/>
      </w:rPr>
      <w:t>1.122/2024</w:t>
    </w:r>
  </w:p>
  <w:p w14:paraId="36411352" w14:textId="4569BEFB"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C55A02">
      <w:rPr>
        <w:rFonts w:ascii="Courier New" w:hAnsi="Courier New" w:cs="Courier New"/>
        <w:sz w:val="20"/>
        <w:szCs w:val="20"/>
      </w:rPr>
      <w:t>90010/2024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7647B1CB"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C55A02">
      <w:rPr>
        <w:rFonts w:ascii="Courier New" w:hAnsi="Courier New" w:cs="Courier New"/>
        <w:sz w:val="20"/>
        <w:szCs w:val="20"/>
      </w:rPr>
      <w:t>1.122/2024</w:t>
    </w:r>
  </w:p>
  <w:p w14:paraId="76F4535A" w14:textId="4F44AABC"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C55A02">
      <w:rPr>
        <w:rFonts w:ascii="Courier New" w:hAnsi="Courier New" w:cs="Courier New"/>
        <w:sz w:val="20"/>
        <w:szCs w:val="20"/>
      </w:rPr>
      <w:t>90010/2024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1FAD"/>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3D63"/>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51E"/>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D84"/>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D36"/>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7D2"/>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0D03"/>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380"/>
    <w:rsid w:val="00361551"/>
    <w:rsid w:val="003618E3"/>
    <w:rsid w:val="00361D6F"/>
    <w:rsid w:val="00362847"/>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1F6B"/>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892"/>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A4B"/>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43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1F0"/>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E75"/>
    <w:rsid w:val="005E46F4"/>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2FD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3EE"/>
    <w:rsid w:val="006637FF"/>
    <w:rsid w:val="006639D3"/>
    <w:rsid w:val="00663EE4"/>
    <w:rsid w:val="00663F00"/>
    <w:rsid w:val="00664013"/>
    <w:rsid w:val="00664458"/>
    <w:rsid w:val="00664475"/>
    <w:rsid w:val="00664ECD"/>
    <w:rsid w:val="0066565F"/>
    <w:rsid w:val="00666099"/>
    <w:rsid w:val="00666139"/>
    <w:rsid w:val="00666AC4"/>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81"/>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430"/>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7D5"/>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097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F9C"/>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E10"/>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5E3"/>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20"/>
    <w:rsid w:val="00AC4494"/>
    <w:rsid w:val="00AC4B39"/>
    <w:rsid w:val="00AC4F34"/>
    <w:rsid w:val="00AC50BC"/>
    <w:rsid w:val="00AC5259"/>
    <w:rsid w:val="00AC6104"/>
    <w:rsid w:val="00AC63AC"/>
    <w:rsid w:val="00AC6EC2"/>
    <w:rsid w:val="00AC6FBC"/>
    <w:rsid w:val="00AC6FC6"/>
    <w:rsid w:val="00AC7203"/>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4CE2"/>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DF"/>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58D"/>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3796E"/>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A02"/>
    <w:rsid w:val="00C55CCA"/>
    <w:rsid w:val="00C55E36"/>
    <w:rsid w:val="00C55EA7"/>
    <w:rsid w:val="00C56CA0"/>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9A"/>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CD5"/>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D6C"/>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03BC"/>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3F7"/>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019C"/>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40"/>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5EE3"/>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E9AA5F45-7553-4A1F-AC56-F9E96A0CD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6269</Words>
  <Characters>33858</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40047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2024-05-06T14:41:00Z</dcterms:created>
  <dcterms:modified xsi:type="dcterms:W3CDTF">2024-06-18T15:52:00Z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